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Нефрология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Нефрология | Записей: 1 | Кейс: 2 | Вопросов: 12</w:t>
      </w:r>
    </w:p>
    <w:p>
      <w:r>
        <w:br w:type="page"/>
      </w:r>
    </w:p>
    <w:p>
      <w:pPr>
        <w:pStyle w:val="Heading1"/>
      </w:pPr>
      <w:r>
        <w:t>Нефрология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Нефрология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79 лет, переводчик, обратилась в поликлинику к нефрологу.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утомляемость,</w:t>
      </w:r>
    </w:p>
    <w:p>
      <w:pPr>
        <w:spacing w:after="58"/>
      </w:pPr>
      <w:r>
        <w:rPr>
          <w:b w:val="0"/>
          <w:i w:val="0"/>
        </w:rPr>
        <w:t>* слабость,</w:t>
      </w:r>
    </w:p>
    <w:p>
      <w:pPr>
        <w:spacing w:after="58"/>
      </w:pPr>
      <w:r>
        <w:rPr>
          <w:b w:val="0"/>
          <w:i w:val="0"/>
        </w:rPr>
        <w:t>* головные боли.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Росла и развивалась нормально, от сверстников не отставала.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в 15 лет – острый нефрит (со слов больной).</w:t>
      </w:r>
    </w:p>
    <w:p>
      <w:pPr>
        <w:spacing w:after="58"/>
      </w:pPr>
      <w:r>
        <w:rPr>
          <w:b w:val="0"/>
          <w:i w:val="0"/>
        </w:rPr>
        <w:t>* Наследственность: по материнской линии - артериальная гипертензия.</w:t>
      </w:r>
    </w:p>
    <w:p>
      <w:pPr>
        <w:spacing w:after="58"/>
      </w:pPr>
      <w:r>
        <w:rPr>
          <w:b w:val="0"/>
          <w:i w:val="0"/>
        </w:rPr>
        <w:t>* Гинекологический анамнез: Беременности – 0, роды – 0. Менопауза с 52 лет.</w:t>
      </w:r>
    </w:p>
    <w:p>
      <w:pPr>
        <w:spacing w:after="58"/>
      </w:pPr>
      <w:r>
        <w:rPr>
          <w:b w:val="0"/>
          <w:i w:val="0"/>
        </w:rPr>
        <w:t>* Вредные привычки: не курит, употребление алкоголя отрицает.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Считает себя больной с подросткового возраста, когда перенесла острый гломерулонефрит (подробности не помнит). В течение многих лет не обследовалась, активно работала за границей. Последние 10 лет (с 69 лет) – артериальная гипертензия, повышение АД до 160/100 мм рт. ст. Принимает эналаприл (5-20 мг/сут). В возрасте 65 лет, выйдя на пенсию, прошла диспансеризацию. При обследовании было обращено внимание на изменения в анализе мочи (небольшой белок, эритроциты), биохимическом анализе крови (повышение уровня холестерина сыворотки). Госпитализирована в стационар, диагностирован хронический гломерулонефрит латентного течения, рекомендовано продолжить прием ингибиторов ангиотензинпревращающего фермента (эналаприла). В дальнейшем наблюдалась терапевтом по месту жительства, в анализах мочи периодически выявлялись белок (до 0,5 мг/л и эритроциты до 20 в п/зр.). Постоянно принимает эналаприл с хорошим эффектом, по необходимости – каптоприл, физиотенз. Последние 2-3 месяца беспокоит ухудшение памяти, повышенная утомляемость.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165 см, масса тела – 80 кг. ИМТ 29,6 кг/м2. Кожные покровы чистые, сухие, видимые слизистые бледно-розовые. Голени пастозны. В легких дыхание жесткое, проводится во все отделы, хрипов нет. Тоны сердца ясные, акцент 2 тона на аорте, ритм правильный. ЧСС 88 в минуту. АД 150/100 мм рт. ст. Живот мягкий, печень и селезенка не пальпируются. Симптом поколачивания по поясничной области отрицательный с обеих сторон. Мочеиспускание свободное, безболезненное. За сутки выделила 2000 л мочи (выпила 1700 мл жидкости).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Выберите основные лабораторные методы исследования, необходимые для подтверждения диагноза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бактериологическое исследование мочи с определением чувствительности к антибиотикам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в сыворотке крови уровня иммуноглобулина 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трехстаканная проба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клинический анализ мочи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биохимический анализ крови; клинический анализ мочи</w:t>
      </w:r>
    </w:p>
    <w:p>
      <w:pPr>
        <w:ind w:left="504"/>
      </w:pPr>
      <w:r>
        <w:rPr>
          <w:b w:val="0"/>
          <w:i/>
        </w:rPr>
        <w:t>Анализ необходим для выявления анемии, цитопении, воспалительных изменений.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необходим для контроля течения давнего заболевания почек, проявлений почечной недостаточности (оценка уровня креатинина, мочевины, калия, фосфора, кальция, общего белка, альбумина), метаболических нарушений (оценка уровня глюкозы, мочевой кислоты, холестерина).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необходим для контроля течения давнего заболевания почек. Признаками поражения почек в общем анализе мочи является выявление белка и/или изменение мочевого осадка, снижение удельного веса мочи.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Нормы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130,0 - 160,0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*1**05**,0*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35,0 - 47,0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35,7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4,00 - 9,00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6,6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4,00 - 5,70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150,0 - 320,0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220 тыс.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 абс.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1,20 - 3,50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2,66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 абс.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0,10 - 1,00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0,32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абс.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2,04 - 5,80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3,29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 абс.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0,02 - 0,30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0,22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 абс.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0,00 - 0,07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17,0 - 48,0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46,1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2,0 - 10,0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8,8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48,00 - 78,00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55,90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0,0 - 6,0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0,0 - 1,0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СОЭ по Панченкову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2 - 20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20</w:t>
            </w:r>
          </w:p>
        </w:tc>
      </w:tr>
    </w:tbl>
    <w:p/>
    <w:p>
      <w:pPr>
        <w:pStyle w:val="Heading3"/>
      </w:pPr>
      <w:r>
        <w:t>3.2. Клинический анализ мочи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Показатели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Цвет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желтый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Прозрачность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неполная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Относительная плотность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*1014*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Реакция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кислая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Белок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*0,2 г/л*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Глк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отр.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Кетоновые тела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отр.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Эпителий:  +</w:t>
              <w:br/>
              <w:t>плоский +</w:t>
              <w:br/>
              <w:t>переходный +</w:t>
              <w:br/>
              <w:t>почечный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{nbsp}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2-4 в п/зр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Эритроциты: +</w:t>
              <w:br/>
              <w:t>Неизмененные +</w:t>
              <w:br/>
              <w:t>неизмененные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{nbsp}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Цилиндры: +</w:t>
              <w:br/>
              <w:t>Слизь +</w:t>
              <w:br/>
              <w:t>Соли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{nbsp}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Нитриты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отр.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Бактерии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отр.</w:t>
            </w:r>
          </w:p>
        </w:tc>
      </w:tr>
    </w:tbl>
    <w:p/>
    <w:p>
      <w:pPr>
        <w:pStyle w:val="Heading3"/>
      </w:pPr>
      <w:r>
        <w:t>3.3. Биохимический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Нормы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Общий белок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60 - 80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Альбумин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35 - 50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Мочевина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2,5 - 6,4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*10*,*7*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Креатинин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53 - 115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*144*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Холестерин общий(ммоль/л)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1,4 - 5,2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*8,4*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Триглицериды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0,20 - 1,70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*1,90*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Холестерин ЛПНП(ммоль/л)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1,5—3,5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*4,2*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Билирубин общий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3,0 - 17,0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10,3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Билирубин прямой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0,0 - 3,0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АЛТ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15,0 - 61,0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50,0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АСТ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13,0 - 35,0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Щелочная фосфатаза(Ед/л)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50,0 - 136,0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Гамма-ГТ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18-100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Мочевая кислота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155,0 - 428,0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400,0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КФК(МЕ/л)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52 -200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200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Глюкоза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3,89 – 5,5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5,4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Калий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3,5-5,0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Натрий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136-145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142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рСКФ (мл/мин) (CKD-EPI)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90-100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*34*</w:t>
            </w:r>
          </w:p>
        </w:tc>
      </w:tr>
    </w:tbl>
    <w:p/>
    <w:p>
      <w:pPr>
        <w:pStyle w:val="Heading3"/>
      </w:pPr>
      <w:r>
        <w:t>3.6. Трехстаканная проба</w:t>
      </w:r>
    </w:p>
    <w:p>
      <w:pPr>
        <w:spacing w:after="58"/>
      </w:pPr>
      <w:r>
        <w:rPr>
          <w:b w:val="0"/>
          <w:i w:val="0"/>
        </w:rPr>
        <w:t>Проводится мужчинам.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Основными инструментальными методами обследования для постановки диагноза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ультразвуковое исследование почек и мочевого пузыря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мультиспиральная компьютерная томография с контрастированием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микционная цистография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экскреторная урография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эхокардиографическое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ультразвуковое исследование почек и мочевого пузыря; эхокардиографическое исследование</w:t>
      </w:r>
    </w:p>
    <w:p>
      <w:pPr>
        <w:ind w:left="504"/>
      </w:pPr>
      <w:r>
        <w:rPr>
          <w:b w:val="0"/>
          <w:i/>
        </w:rPr>
        <w:t>Пациенту с давним нефрологическим заболеванием УЗИ необходимо для оценки выраженности нефросклероза (определение размеров почек, толщины и эхогенности паренхимы), исключения объемных образований, конкрементов, обструкции показано проведение ультразвукового исследования почек.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Внутренние болезни в 2-х томах: учебник Под ред. Н.А. Мухина, В.С. Моисеева, А.И. Мартынова - 2010. - 1264 c.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Эхокардиография позволяет объективно оценить тяжесть и давность артериальной гипертензии по наличию гипертонического сердца (гипертрофия стенок левого желудочка, увеличение массы миокарда левого, возможное расширение корня аорты и соответствующего формирования аортальной недостаточности), кальцификации, структур сердца; выраженность атеросклероза.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 инструментальных методов обследования</w:t>
      </w:r>
    </w:p>
    <w:p>
      <w:pPr>
        <w:pStyle w:val="Heading3"/>
      </w:pPr>
      <w:r>
        <w:t>5.1. Ультразвуковое исследование почек и мочевого пузыря</w:t>
      </w:r>
    </w:p>
    <w:p>
      <w:pPr>
        <w:spacing w:after="58"/>
      </w:pPr>
      <w:r>
        <w:rPr>
          <w:b w:val="0"/>
          <w:i w:val="0"/>
        </w:rPr>
        <w:t>*Заключение:* почки уменьшены в размерах (правая 100х50 мм, левая 95х50 мм), толщина паренхимы (13 и 12 мм), эхогенность паренхимы повышена, чашечно-лоханочная система не расширена. При ЦДК – кровоток во всех отделах почки резко обеднен. Данных за наличие объемных образований нет.</w:t>
      </w:r>
    </w:p>
    <w:p>
      <w:pPr>
        <w:pStyle w:val="Heading3"/>
      </w:pPr>
      <w:r>
        <w:t>5.2. Эхокардиографическое исследование</w:t>
      </w:r>
    </w:p>
    <w:p>
      <w:pPr>
        <w:spacing w:after="58"/>
      </w:pPr>
      <w:r>
        <w:rPr>
          <w:b w:val="0"/>
          <w:i w:val="0"/>
        </w:rPr>
        <w:t>*Заключение:* гипертрофия миокарда левого желудочка. Незначительный стеноз выносящего тракта левого желудочка. Кальциноз стенок аорты, структур аортального клапана; уплотнение створок митрального клапана. Недостаточность аортального клапана 1 ст. Умеренный стеноз аортального клапана. Недостаточность митрального клапана 1-2 ст. Недостаточность трикуспидального клапана 1 ст.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 снижении азотвыделительной функции почек у данной пациентки свидетельствуют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снижение удельного веса мочи, полиурия, никтурия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артериальная гипертония и уменьшение размеров почек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протеинурии, эритроцитурии, лейкоцитурии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увеличение уровня креатинина крови и снижение СКФ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увеличение уровня креатинина крови и снижение СКФ</w:t>
      </w:r>
    </w:p>
    <w:p>
      <w:pPr>
        <w:ind w:left="504"/>
      </w:pPr>
      <w:r>
        <w:rPr>
          <w:b w:val="0"/>
          <w:i/>
        </w:rPr>
        <w:t>Основными признаками нарушения азотвыделительной функции почек являются повышение уровня креатинина крови и снижение СКФ.</w:t>
        <w:br/>
        <w:br/>
      </w:r>
      <w:hyperlink r:id="rId17">
        <w:r>
          <w:rPr>
            <w:color w:val="0F766E"/>
            <w:u w:val="single"/>
          </w:rPr>
          <w:t>Клинические рекомендации Минздрава России. Синдром диабетической стопы, 2015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Снижение расчетной скорости клубочковой фильтрации у пациентки до 34 мл/мин соответствует +______+ стадии хронической болезни почек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3б</w:t>
      </w:r>
    </w:p>
    <w:p>
      <w:pPr>
        <w:ind w:left="504"/>
      </w:pPr>
      <w:r>
        <w:rPr>
          <w:b w:val="0"/>
          <w:i/>
        </w:rPr>
        <w:t>Уровень скорости клубочковой фильтрации в пределах 30-44 мл/мин соответствует 3б стадии хронической болезни почек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Наиболее вероятным основным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Хронический гломерулонефрит латентного течения, хроническая болезнь почек 3Б стадии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Хронический гломерулонефрит нефротического типа, хроническая болезнь почек 5Д стадии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 обструктивный пиелонефрит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Острый тубулоинтерстициальный нефрит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Хронический гломерулонефрит латентного течения, хроническая болезнь почек 3Б стадии</w:t>
      </w:r>
    </w:p>
    <w:p>
      <w:pPr>
        <w:ind w:left="504"/>
      </w:pPr>
      <w:r>
        <w:rPr>
          <w:b w:val="0"/>
          <w:i/>
        </w:rPr>
        <w:t>В пользу хронического гломерулонефрита латентного течения свидетельствует длительный анамнез изолированного мочевого синдрома, появившегося до развития АГ.</w:t>
        <w:br/>
        <w:br/>
        <w:t>Диагноз ХБП следует устанавливать на основании наличия у пациента на протяжении не менее 3 месяцев:</w:t>
        <w:br/>
        <w:br/>
        <w:t>1) Признаков повреждения почек (при нормальной или сниженной СКФ):</w:t>
        <w:br/>
        <w:br/>
        <w:t>* альбуминурии/протеинурии, гематурии (после исключения урологических причин)</w:t>
        <w:br/>
        <w:br/>
        <w:t>* необратимых структурных изменений органа, выявленных при прижизненном морфологическом исследовании органа или при его визуализации</w:t>
        <w:br/>
        <w:br/>
        <w:t>2) Снижения скорости клубочковой фильтрации (СКФ) &lt; 60 мл/мин/1,73 м2 вне зависимости от наличия других признаков повреждения почек.</w:t>
        <w:br/>
        <w:br/>
        <w:t>В практической работе ХБП следует разделять на стадии в зависимости от значений СКФ и альбуминурии/протеинурии</w:t>
        <w:br/>
        <w:br/>
        <w:t>СКФ 34 мл/мин соответствует 3б стадии.</w:t>
        <w:br/>
        <w:br/>
      </w:r>
      <w:hyperlink r:id="rId20">
        <w:r>
          <w:rPr>
            <w:color w:val="0F766E"/>
            <w:u w:val="single"/>
          </w:rPr>
          <w:t>Клинические рекомендации Ассоциации нефрологов «Хроническая болезнь почек (ХБП)», 2020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Диагноз</w:t>
      </w:r>
    </w:p>
    <w:p>
      <w:pPr>
        <w:pStyle w:val="Heading3"/>
      </w:pPr>
      <w:r>
        <w:t>9.1. Хронический гломерулонефрит латентного течения, хроническая болезнь почек 3Б стадии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Пациентка, имея хроническую болезнь почек 3б стадии (СКФ 34 мл/мин), относится к группе +______________+ сердечно-сосудистого риска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очень низкого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низкого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высокого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умеренного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высокого</w:t>
      </w:r>
    </w:p>
    <w:p>
      <w:pPr>
        <w:ind w:left="504"/>
      </w:pPr>
      <w:r>
        <w:rPr>
          <w:b w:val="0"/>
          <w:i/>
        </w:rPr>
        <w:t>Критерием высокого сердечно-сосудистого риска является умеренная ХБП с СКФ 30–59 мл/мин/1,73 м2</w:t>
        <w:br/>
        <w:br/>
      </w:r>
      <w:hyperlink r:id="rId22">
        <w:r>
          <w:rPr>
            <w:color w:val="0F766E"/>
            <w:u w:val="single"/>
          </w:rPr>
          <w:t>Российские рекомендации, VII пересмотр. Атеросклероз и дислипидемии. Диагностика и коррекция нарушений липидного обмена с целью профилактики и лечения атеросклероза, 2020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Тактика ведения пациентки с хроническим латентным гломерулонефритом, артериальной гипертензией, хронической болезнью почек 3б ст.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определении программы иммуносупрессии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коррекции нефропротективной терапии и динамическом наблюдении нефрологом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формировании сосудистого доступа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переводе в урологический стационар для выполнения пункционной биопсии почки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коррекции нефропротективной терапии и динамическом наблюдении нефрологом</w:t>
      </w:r>
    </w:p>
    <w:p>
      <w:pPr>
        <w:ind w:left="504"/>
      </w:pPr>
      <w:r>
        <w:rPr>
          <w:b w:val="0"/>
          <w:i/>
        </w:rPr>
        <w:t>При латентной форме хронического гломерулонефрита активная иммуносупрессивная терапия не показана. Проводят регулярное наблюдение, с привлечением нефролога.</w:t>
        <w:br/>
        <w:br/>
        <w:t>Лечение пациента с хронической болезнью почек д.б. направлено на замедление темпов прогрессирования дисфункции почек (ренопротекция) и предупреждение развития и прогрессирования сердечно-сосудистой патологии (кардиопротекция) с целью улучшения исходов болезни. Зависит от стадии ХБП.</w:t>
        <w:br/>
        <w:br/>
      </w:r>
      <w:hyperlink r:id="rId20">
        <w:r>
          <w:rPr>
            <w:color w:val="0F766E"/>
            <w:u w:val="single"/>
          </w:rPr>
          <w:t>Клинические рекомендации Ассоциации нефрологов «Хроническая болезнь почек (ХБП)», 2020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Пациентке с латентным гломерулонефритом, артериальной гипертензией, хронической болезнью почек 3 ст. ингибитор ангиотензинпревращающего фермента (эналаприл) назначен, помимо антигипертензивной цели, для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достижения антипротеинурического эффекта и торможения прогрессирования дисфункции почек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коррекции метаболических нарушений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коррекции гомеостатических нарушений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достижения гиполипидемического эффекта и снижения рисков фатальных исходов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достижения антипротеинурического эффекта и торможения прогрессирования дисфункции почек</w:t>
      </w:r>
    </w:p>
    <w:p>
      <w:pPr>
        <w:ind w:left="504"/>
      </w:pPr>
      <w:r>
        <w:rPr>
          <w:b w:val="0"/>
          <w:i/>
        </w:rPr>
        <w:t>Пациентам с хронической болезнью почек недиабетической этиологии и альбуминурией, рекомендуется назначать ингибиторы ангиотензинпревращающего фермента и блокаторы рецепторов ангиотензина с целью достижения антипротеинурического эффекта и торможения прогрессирования дисфункции почек.</w:t>
        <w:br/>
        <w:br/>
      </w:r>
      <w:hyperlink r:id="rId25">
        <w:r>
          <w:rPr>
            <w:color w:val="0F766E"/>
            <w:u w:val="single"/>
          </w:rPr>
          <w:t>Клинические рекомендации Ассоциации нефрологов «Хроническая болезнь почек (ХБП)», 2019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связи с нарушением обмена липидов и очень высоким сердечно-сосудистым риском пациентке показан прием статинов. В данной ситуации (хроническая болезнь почек 3б ст.) предпочтительно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флувастатина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симвастатина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аторвастатина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питавастатина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аторвастатина</w:t>
      </w:r>
    </w:p>
    <w:p>
      <w:pPr>
        <w:ind w:left="504"/>
      </w:pPr>
      <w:r>
        <w:rPr>
          <w:b w:val="0"/>
          <w:i/>
        </w:rPr>
        <w:t>Учитывая, что пациенты с ХБП относятся к категории очень высокого риска сердечно-сосудистых осложнений, им показано применение «мощных» статинов, к которым относятся аторвастатин и розувастатин. Наличие умеренной и тяжелой почечной недостаточности требует подбора адекватных доз. Коррекция дозы аторвастатина даже при выраженном снижении СКФ не требуется, этот препарат разрешен к применению у пациентов с финальными стадиями ХБП.</w:t>
        <w:br/>
        <w:br/>
      </w:r>
      <w:hyperlink r:id="rId20">
        <w:r>
          <w:rPr>
            <w:color w:val="0F766E"/>
            <w:u w:val="single"/>
          </w:rPr>
          <w:t>Клинические рекомендации Ассоциации нефрологов «Хроническая болезнь почек (ХБП)», 2020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Реестр лекарственных средств России (РЛС) 2019. Аторвастатин. Особенности фармакокинетики у отдельных групп пациентов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После начала терапии статинами необходимо периодически контролировать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уровень глюкозы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печеночные и мышечные ферменты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показатели свертывающей системы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концентрацию препарата 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печеночные и мышечные ферменты</w:t>
      </w:r>
    </w:p>
    <w:p>
      <w:pPr>
        <w:ind w:left="504"/>
      </w:pPr>
      <w:r>
        <w:rPr>
          <w:b w:val="0"/>
          <w:i/>
        </w:rPr>
        <w:t>Помимо мониторирования показателей липидного обмена, до начала, в процессе (через 8-12 недель) терапии статинами, после повышения дозы препарата, необходим мониторинг печеночных и мышечных ферментов.</w:t>
        <w:br/>
        <w:br/>
      </w:r>
      <w:hyperlink r:id="rId22">
        <w:r>
          <w:rPr>
            <w:color w:val="0F766E"/>
            <w:u w:val="single"/>
          </w:rPr>
          <w:t>Российские рекомендации, VII пересмотр. Атеросклероз и дислипидемии. Диагностика и коррекция нарушений липидного обмена с целью профилактики и лечения атеросклероза, 2020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</w:t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Если при контрольном определении уровня печеночных ферментов через 8-12 недель от начала терапии статинами обнаруживается их повышение (менее 3 норм), рекомендуется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снизить дозу препарата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увеличить дозу препарата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прекратить проводимую гиполипидемическую терапию с контролем аланинаминотрансферазы через 1-2 недели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продолжить проводимую терапию с контролем аланинаминотрансферазы через 4-6 недель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продолжить проводимую терапию с контролем аланинаминотрансферазы через 4-6 недель</w:t>
      </w:r>
    </w:p>
    <w:p>
      <w:pPr>
        <w:ind w:left="504"/>
      </w:pPr>
      <w:r>
        <w:rPr>
          <w:b w:val="0"/>
          <w:i/>
        </w:rPr>
        <w:t>Что делать если повышается уровень печеночных ферментов?</w:t>
        <w:br/>
        <w:br/>
        <w:t>Если AЛT &lt;3 ВГН (верхняя граница нормы):</w:t>
        <w:br/>
        <w:br/>
        <w:t>* Продолжать терапию.</w:t>
        <w:br/>
        <w:br/>
        <w:t>* Повторный контроль АЛТ через 4-6 недель.</w:t>
        <w:br/>
        <w:br/>
      </w:r>
      <w:hyperlink r:id="rId22">
        <w:r>
          <w:rPr>
            <w:color w:val="0F766E"/>
            <w:u w:val="single"/>
          </w:rPr>
          <w:t>Российские рекомендации, VII пересмотр. Атеросклероз и дислипидемии. Диагностика и коррекция нарушений липидного обмена с целью профилактики и лечения атеросклероза, 2020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Пациентка с хронической болезнью почек 3б ст. должна проходить контрольное нефрологическое обследование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каждые 6-9 недель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ежегодно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каждые 3-6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ежемесячно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каждые 3-6 месяцев</w:t>
      </w:r>
    </w:p>
    <w:p>
      <w:pPr>
        <w:ind w:left="504"/>
      </w:pPr>
      <w:r>
        <w:rPr>
          <w:b w:val="0"/>
          <w:i/>
        </w:rPr>
        <w:t>Пациенты с выявленной ХБП должны подвергаться регулярному медицинскому наблюдению с участием нефролога; частота наблюдения определяется тяжестью ХБП (стадией и индексом).</w:t>
        <w:br/>
        <w:br/>
        <w:t>Ориентировочная частота обследований пациентов с ХБП в зависимости от ее стадии и индекса альбуминурии</w:t>
        <w:br/>
        <w:br/>
        <w:t xml:space="preserve"> a| Стадия ХБП 5+^a| Индекс альбуминурии</w:t>
        <w:br/>
        <w:br/>
        <w:t xml:space="preserve"> a|</w:t>
        <w:br/>
        <w:br/>
        <w:t xml:space="preserve"> a| А0 a| А1 a| А2 a| А3 a| А4</w:t>
        <w:br/>
        <w:br/>
        <w:t xml:space="preserve"> a| 1-2 a| Ежегодно a| Ежегодно a| Ежегодно a| Каждые 6 ме a| Каждые 3 мес</w:t>
        <w:br/>
        <w:br/>
        <w:t xml:space="preserve"> a| 3а-3б a| Каждые 6 мес a| Каждые 6 мес a| Каждые 6 мес a| Каждые 3 мес a| Каждые 3 мес</w:t>
        <w:br/>
        <w:br/>
        <w:t xml:space="preserve"> a| 4 a| Каждые 3 мес a| Каждые 3 мес a| Каждые 3 мес a| Каждые 6 нед a| Каждые 6 нед</w:t>
        <w:br/>
        <w:br/>
        <w:t xml:space="preserve"> a| 5 a| Каждые 6 нед a| Каждые 6 нед a| Каждые 6 нед a| Каждые 6 нед a| Каждые 6 нед</w:t>
        <w:br/>
        <w:br/>
        <w:t>{nbsp}</w:t>
        <w:br/>
        <w:br/>
      </w:r>
      <w:hyperlink r:id="rId20">
        <w:r>
          <w:rPr>
            <w:color w:val="0F766E"/>
            <w:u w:val="single"/>
          </w:rPr>
          <w:t>Клинические рекомендации Ассоциации нефрологов «Хроническая болезнь почек (ХБП)», 2020 г.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11742/?anchor=paragraph_r3ht2j#paragraph_r3ht2j" TargetMode="External"/><Relationship Id="rId10" Type="http://schemas.openxmlformats.org/officeDocument/2006/relationships/hyperlink" Target="https://library.mededtech.ru/rest/documents/ISBN9785970411742/?anchor=paragraph_4u288b#paragraph_4u288b" TargetMode="External"/><Relationship Id="rId11" Type="http://schemas.openxmlformats.org/officeDocument/2006/relationships/hyperlink" Target="https://library.mededtech.ru/rest/documents/ISBN9785970411742/?anchor=paragraph_n57ucv#paragraph_n57ucv" TargetMode="External"/><Relationship Id="rId12" Type="http://schemas.openxmlformats.org/officeDocument/2006/relationships/hyperlink" Target="https://library.mededtech.ru/rest/documents/ISBN9785970437889/?anchor=paragraph_3gbbv2#paragraph_3gbbv2" TargetMode="External"/><Relationship Id="rId13" Type="http://schemas.openxmlformats.org/officeDocument/2006/relationships/hyperlink" Target="https://library.mededtech.ru/rest/documents/ISBN9785970411742/?anchor=paragraph_rn28l7#paragraph_rn28l7" TargetMode="External"/><Relationship Id="rId14" Type="http://schemas.openxmlformats.org/officeDocument/2006/relationships/hyperlink" Target="https://library.mededtech.ru/rest/documents/D01514/?anchor=list_item_48dlp#list_item_48dlp" TargetMode="External"/><Relationship Id="rId15" Type="http://schemas.openxmlformats.org/officeDocument/2006/relationships/hyperlink" Target="https://library.mededtech.ru/rest/documents/ISBN9785970411742/?anchor=paragraph_d16hg1#paragraph_d16hg1" TargetMode="External"/><Relationship Id="rId16" Type="http://schemas.openxmlformats.org/officeDocument/2006/relationships/hyperlink" Target="https://library.mededtech.ru/rest/documents/ISBN9785970437889/?anchor=paragraph_aapeio#paragraph_aapeio" TargetMode="External"/><Relationship Id="rId17" Type="http://schemas.openxmlformats.org/officeDocument/2006/relationships/hyperlink" Target="https://library.mededtech.ru/rest/documents/kr525_s/" TargetMode="External"/><Relationship Id="rId18" Type="http://schemas.openxmlformats.org/officeDocument/2006/relationships/hyperlink" Target="https://library.mededtech.ru/rest/documents/kr525_s/index.html#list_item_65r244" TargetMode="External"/><Relationship Id="rId19" Type="http://schemas.openxmlformats.org/officeDocument/2006/relationships/hyperlink" Target="https://library.mededtech.ru/rest/documents/ISBN9785970437889/?anchor=paragraph_7iji1l#paragraph_7iji1l" TargetMode="External"/><Relationship Id="rId20" Type="http://schemas.openxmlformats.org/officeDocument/2006/relationships/hyperlink" Target="https://library.mededtech.ru/rest/documents/CKD_final/" TargetMode="External"/><Relationship Id="rId21" Type="http://schemas.openxmlformats.org/officeDocument/2006/relationships/hyperlink" Target="https://library.mededtech.ru/rest/documents/CKD_final/index.html#table10" TargetMode="External"/><Relationship Id="rId22" Type="http://schemas.openxmlformats.org/officeDocument/2006/relationships/hyperlink" Target="https://library.mededtech.ru/rest/documents/aid_2020.1.02_0/" TargetMode="External"/><Relationship Id="rId23" Type="http://schemas.openxmlformats.org/officeDocument/2006/relationships/hyperlink" Target="https://library.mededtech.ru/rest/documents/aid_2020.1.02_0/index.html#tab6" TargetMode="External"/><Relationship Id="rId24" Type="http://schemas.openxmlformats.org/officeDocument/2006/relationships/hyperlink" Target="https://library.mededtech.ru/rest/documents/CKD_final/index.html#list_item_b0hulp" TargetMode="External"/><Relationship Id="rId25" Type="http://schemas.openxmlformats.org/officeDocument/2006/relationships/hyperlink" Target="https://library.mededtech.ru/rest/documents/Clin_guidlines_CKD/" TargetMode="External"/><Relationship Id="rId26" Type="http://schemas.openxmlformats.org/officeDocument/2006/relationships/hyperlink" Target="https://library.mededtech.ru/rest/documents/Clin_guidlines_CKD/index.html#list_item_cqv562" TargetMode="External"/><Relationship Id="rId27" Type="http://schemas.openxmlformats.org/officeDocument/2006/relationships/hyperlink" Target="https://library.mededtech.ru/rest/documents/CKD_final/index.html#paragraph_l44o42" TargetMode="External"/><Relationship Id="rId28" Type="http://schemas.openxmlformats.org/officeDocument/2006/relationships/hyperlink" Target="https://www.rlsnet.ru/" TargetMode="External"/><Relationship Id="rId29" Type="http://schemas.openxmlformats.org/officeDocument/2006/relationships/hyperlink" Target="https://library.mededtech.ru/rest/documents/aid_2020.1.02_0/index.html#&#1052;&#1086;&#1085;&#1080;&#1090;&#1086;&#1088;&#1080;&#1085;&#1075;_&#1087;&#1077;&#1095;&#1077;&#1085;&#1086;&#1095;&#1085;&#1099;&#1093;_&#1080;_&#1084;&#1099;&#1096;&#1077;&#1095;&#1085;&#1099;&#1093;_&#1092;&#1077;&#1088;&#1084;&#1077;&#1085;&#1090;&#1086;&#1074;" TargetMode="External"/><Relationship Id="rId30" Type="http://schemas.openxmlformats.org/officeDocument/2006/relationships/hyperlink" Target="https://library.mededtech.ru/rest/documents/ISBN9785970458815/?anchor=paragraph_7h7ug9#paragraph_7h7ug9" TargetMode="External"/><Relationship Id="rId31" Type="http://schemas.openxmlformats.org/officeDocument/2006/relationships/hyperlink" Target="https://library.mededtech.ru/rest/documents/aid_2020.1.02_0/index.html#list_item_ediid2" TargetMode="External"/><Relationship Id="rId32" Type="http://schemas.openxmlformats.org/officeDocument/2006/relationships/hyperlink" Target="https://library.mededtech.ru/rest/documents/CKD_final/index.html#table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